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B8" w:rsidRDefault="00E623B8" w:rsidP="00E623B8">
      <w:pPr>
        <w:pStyle w:val="Heading1"/>
        <w:rPr>
          <w:b/>
        </w:rPr>
      </w:pPr>
      <w:r>
        <w:rPr>
          <w:b/>
        </w:rPr>
        <w:t>Less</w:t>
      </w:r>
      <w:bookmarkStart w:id="0" w:name="_GoBack"/>
      <w:bookmarkEnd w:id="0"/>
      <w:r>
        <w:rPr>
          <w:b/>
        </w:rPr>
        <w:t>on 1 Recap:  Evaluating Lite</w:t>
      </w:r>
      <w:r w:rsidRPr="009001CE">
        <w:rPr>
          <w:b/>
        </w:rPr>
        <w:t>rary Worlds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623B8" w:rsidRPr="009001CE" w:rsidTr="008A5028">
        <w:tc>
          <w:tcPr>
            <w:tcW w:w="9016" w:type="dxa"/>
            <w:shd w:val="clear" w:color="auto" w:fill="5B9BD5" w:themeFill="accent1"/>
          </w:tcPr>
          <w:p w:rsidR="00E623B8" w:rsidRPr="009001CE" w:rsidRDefault="00E623B8" w:rsidP="008A5028">
            <w:pPr>
              <w:pStyle w:val="Heading2"/>
              <w:spacing w:before="120" w:after="120"/>
              <w:outlineLvl w:val="1"/>
              <w:rPr>
                <w:color w:val="FFFFFF" w:themeColor="background1"/>
              </w:rPr>
            </w:pPr>
            <w:r>
              <w:rPr>
                <w:color w:val="FFFFFF" w:themeColor="background1"/>
              </w:rPr>
              <w:t>Reflecting on evaluating literary worlds  (15 marks)</w:t>
            </w:r>
          </w:p>
        </w:tc>
      </w:tr>
      <w:tr w:rsidR="00E623B8" w:rsidTr="00E623B8">
        <w:tc>
          <w:tcPr>
            <w:tcW w:w="9016" w:type="dxa"/>
            <w:tcBorders>
              <w:bottom w:val="single" w:sz="4" w:space="0" w:color="auto"/>
            </w:tcBorders>
            <w:shd w:val="clear" w:color="auto" w:fill="DEEAF6" w:themeFill="accent1" w:themeFillTint="33"/>
          </w:tcPr>
          <w:p w:rsidR="00E623B8" w:rsidRPr="00E623B8" w:rsidRDefault="00E623B8" w:rsidP="00E623B8">
            <w:pPr>
              <w:pStyle w:val="NormalWeb"/>
              <w:numPr>
                <w:ilvl w:val="0"/>
                <w:numId w:val="7"/>
              </w:numPr>
              <w:tabs>
                <w:tab w:val="clear" w:pos="720"/>
                <w:tab w:val="num" w:pos="317"/>
              </w:tabs>
              <w:spacing w:after="0"/>
              <w:ind w:left="317" w:hanging="284"/>
              <w:textAlignment w:val="baseline"/>
              <w:rPr>
                <w:rFonts w:ascii="Arial" w:hAnsi="Arial" w:cs="Arial"/>
                <w:color w:val="000000"/>
                <w:sz w:val="22"/>
                <w:szCs w:val="22"/>
              </w:rPr>
            </w:pPr>
            <w:r>
              <w:rPr>
                <w:rFonts w:ascii="Arial" w:hAnsi="Arial" w:cs="Arial"/>
                <w:color w:val="000000"/>
                <w:sz w:val="22"/>
                <w:szCs w:val="22"/>
              </w:rPr>
              <w:t xml:space="preserve">Write a reflection in which you consider the following:  </w:t>
            </w:r>
            <w:r>
              <w:rPr>
                <w:rFonts w:ascii="Arial" w:hAnsi="Arial" w:cs="Arial"/>
                <w:color w:val="000000"/>
                <w:sz w:val="22"/>
                <w:szCs w:val="22"/>
              </w:rPr>
              <w:t xml:space="preserve">What did you learn about the ways texts can be valued by readers?  Did anything in this study surprise or interest you?  How so?  What was significant about this study for you?  How will this impact on your understanding of the rubric requirement to </w:t>
            </w:r>
            <w:r>
              <w:rPr>
                <w:rFonts w:ascii="Arial" w:hAnsi="Arial" w:cs="Arial"/>
                <w:i/>
                <w:iCs/>
                <w:color w:val="000000"/>
                <w:sz w:val="22"/>
                <w:szCs w:val="22"/>
              </w:rPr>
              <w:t>evaluate</w:t>
            </w:r>
            <w:r>
              <w:rPr>
                <w:rFonts w:ascii="Arial" w:hAnsi="Arial" w:cs="Arial"/>
                <w:color w:val="000000"/>
                <w:sz w:val="22"/>
                <w:szCs w:val="22"/>
              </w:rPr>
              <w:t xml:space="preserve"> texts:</w:t>
            </w:r>
          </w:p>
          <w:p w:rsidR="00E623B8" w:rsidRPr="00E623B8" w:rsidRDefault="00E623B8" w:rsidP="00E623B8">
            <w:pPr>
              <w:pStyle w:val="NormalWeb"/>
              <w:numPr>
                <w:ilvl w:val="0"/>
                <w:numId w:val="8"/>
              </w:numPr>
              <w:spacing w:after="0"/>
              <w:textAlignment w:val="baseline"/>
              <w:rPr>
                <w:rFonts w:ascii="Arial" w:hAnsi="Arial" w:cs="Arial"/>
                <w:color w:val="000000"/>
                <w:sz w:val="22"/>
                <w:szCs w:val="22"/>
              </w:rPr>
            </w:pPr>
            <w:r w:rsidRPr="00E623B8">
              <w:rPr>
                <w:rFonts w:ascii="Arial" w:hAnsi="Arial" w:cs="Arial"/>
                <w:color w:val="000000"/>
                <w:sz w:val="22"/>
                <w:szCs w:val="22"/>
              </w:rPr>
              <w:t xml:space="preserve">“evaluate the ways texts represent and illuminate the complexity of individual and collective lives in literary worlds”,   </w:t>
            </w:r>
          </w:p>
          <w:p w:rsidR="00E623B8" w:rsidRPr="00E623B8" w:rsidRDefault="00E623B8" w:rsidP="00E623B8">
            <w:pPr>
              <w:pStyle w:val="NormalWeb"/>
              <w:numPr>
                <w:ilvl w:val="0"/>
                <w:numId w:val="8"/>
              </w:numPr>
              <w:spacing w:after="0"/>
              <w:textAlignment w:val="baseline"/>
              <w:rPr>
                <w:rFonts w:ascii="Arial" w:hAnsi="Arial" w:cs="Arial"/>
                <w:color w:val="000000"/>
                <w:sz w:val="22"/>
                <w:szCs w:val="22"/>
              </w:rPr>
            </w:pPr>
            <w:r w:rsidRPr="00E623B8">
              <w:rPr>
                <w:rFonts w:ascii="Arial" w:hAnsi="Arial" w:cs="Arial"/>
                <w:color w:val="000000"/>
                <w:sz w:val="22"/>
                <w:szCs w:val="22"/>
              </w:rPr>
              <w:t xml:space="preserve">“evaluate how ideas and waWys of thinking are shaped by ... contexts” </w:t>
            </w:r>
          </w:p>
          <w:p w:rsidR="00E623B8" w:rsidRPr="00E623B8" w:rsidRDefault="00E623B8" w:rsidP="00E623B8">
            <w:pPr>
              <w:pStyle w:val="NormalWeb"/>
              <w:numPr>
                <w:ilvl w:val="0"/>
                <w:numId w:val="8"/>
              </w:numPr>
              <w:spacing w:after="0"/>
              <w:textAlignment w:val="baseline"/>
              <w:rPr>
                <w:rFonts w:ascii="Arial" w:hAnsi="Arial" w:cs="Arial"/>
                <w:color w:val="000000"/>
                <w:sz w:val="22"/>
                <w:szCs w:val="22"/>
              </w:rPr>
            </w:pPr>
            <w:r w:rsidRPr="00E623B8">
              <w:rPr>
                <w:rFonts w:ascii="Arial" w:hAnsi="Arial" w:cs="Arial"/>
                <w:color w:val="000000"/>
                <w:sz w:val="22"/>
                <w:szCs w:val="22"/>
              </w:rPr>
              <w:t>“critically evaluate textual representations of the experiences of others”</w:t>
            </w:r>
          </w:p>
          <w:p w:rsidR="00E623B8" w:rsidRPr="00E623B8" w:rsidRDefault="00E623B8" w:rsidP="00E623B8">
            <w:pPr>
              <w:pStyle w:val="NormalWeb"/>
              <w:numPr>
                <w:ilvl w:val="0"/>
                <w:numId w:val="8"/>
              </w:numPr>
              <w:spacing w:after="0"/>
              <w:textAlignment w:val="baseline"/>
              <w:rPr>
                <w:rFonts w:ascii="Arial" w:hAnsi="Arial" w:cs="Arial"/>
                <w:color w:val="000000"/>
                <w:sz w:val="22"/>
                <w:szCs w:val="22"/>
              </w:rPr>
            </w:pPr>
            <w:r w:rsidRPr="00E623B8">
              <w:rPr>
                <w:rFonts w:ascii="Arial" w:hAnsi="Arial" w:cs="Arial"/>
                <w:color w:val="000000"/>
                <w:sz w:val="22"/>
                <w:szCs w:val="22"/>
              </w:rPr>
              <w:t xml:space="preserve">[critically evaluate] “how values are presented and reflected in texts”  </w:t>
            </w:r>
          </w:p>
          <w:p w:rsidR="00E623B8" w:rsidRDefault="00E623B8" w:rsidP="00E623B8">
            <w:pPr>
              <w:pStyle w:val="NormalWeb"/>
              <w:numPr>
                <w:ilvl w:val="0"/>
                <w:numId w:val="8"/>
              </w:numPr>
              <w:spacing w:after="0"/>
              <w:textAlignment w:val="baseline"/>
            </w:pPr>
            <w:r w:rsidRPr="00E623B8">
              <w:rPr>
                <w:rFonts w:ascii="Arial" w:hAnsi="Arial" w:cs="Arial"/>
                <w:color w:val="000000"/>
                <w:sz w:val="22"/>
                <w:szCs w:val="22"/>
              </w:rPr>
              <w:t>“consider how personal, social, historical and cultural context influence how texts are valued”</w:t>
            </w:r>
          </w:p>
        </w:tc>
      </w:tr>
      <w:tr w:rsidR="00E623B8" w:rsidTr="00E623B8">
        <w:tc>
          <w:tcPr>
            <w:tcW w:w="9016" w:type="dxa"/>
            <w:tcBorders>
              <w:top w:val="single" w:sz="4" w:space="0" w:color="auto"/>
              <w:bottom w:val="single" w:sz="4" w:space="0" w:color="auto"/>
            </w:tcBorders>
          </w:tcPr>
          <w:p w:rsidR="00E623B8" w:rsidRDefault="00E623B8" w:rsidP="00E623B8">
            <w:pPr>
              <w:pStyle w:val="NormalWeb"/>
              <w:spacing w:before="0" w:beforeAutospacing="0" w:after="0" w:afterAutospacing="0"/>
              <w:ind w:left="90"/>
            </w:pPr>
            <w:r>
              <w:rPr>
                <w:rFonts w:ascii="Arial" w:hAnsi="Arial" w:cs="Arial"/>
                <w:b/>
                <w:bCs/>
                <w:color w:val="626262"/>
                <w:sz w:val="16"/>
                <w:szCs w:val="16"/>
                <w:shd w:val="clear" w:color="auto" w:fill="FFFFFF"/>
              </w:rPr>
              <w:t>In your response you will be assessed on:</w:t>
            </w:r>
          </w:p>
          <w:p w:rsidR="00E623B8" w:rsidRDefault="00E623B8" w:rsidP="00E623B8">
            <w:pPr>
              <w:pStyle w:val="NormalWeb"/>
              <w:numPr>
                <w:ilvl w:val="0"/>
                <w:numId w:val="4"/>
              </w:numPr>
              <w:shd w:val="clear" w:color="auto" w:fill="FFFFFF"/>
              <w:spacing w:before="0" w:beforeAutospacing="0" w:after="0" w:afterAutospacing="0"/>
              <w:ind w:left="360"/>
              <w:textAlignment w:val="baseline"/>
              <w:rPr>
                <w:rFonts w:ascii="Arial" w:hAnsi="Arial" w:cs="Arial"/>
                <w:color w:val="626262"/>
                <w:sz w:val="16"/>
                <w:szCs w:val="16"/>
              </w:rPr>
            </w:pPr>
            <w:r>
              <w:rPr>
                <w:rFonts w:ascii="Arial" w:hAnsi="Arial" w:cs="Arial"/>
                <w:b/>
                <w:bCs/>
                <w:color w:val="626262"/>
                <w:sz w:val="16"/>
                <w:szCs w:val="16"/>
                <w:shd w:val="clear" w:color="auto" w:fill="FFFFFF"/>
              </w:rPr>
              <w:t>EE12-3:  </w:t>
            </w:r>
            <w:r>
              <w:rPr>
                <w:rFonts w:ascii="Arial" w:hAnsi="Arial" w:cs="Arial"/>
                <w:color w:val="626262"/>
                <w:sz w:val="16"/>
                <w:szCs w:val="16"/>
                <w:shd w:val="clear" w:color="auto" w:fill="FFFFFF"/>
              </w:rPr>
              <w:t>How effectively you have independently investigated, interpreted and synthesised critical texts to analyse and evaluate different ways of valuing texts in order to inform and refine response to and composition of sophisticated texts</w:t>
            </w:r>
          </w:p>
          <w:p w:rsidR="00E623B8" w:rsidRPr="00E623B8" w:rsidRDefault="00E623B8" w:rsidP="00E623B8">
            <w:pPr>
              <w:pStyle w:val="NormalWeb"/>
              <w:numPr>
                <w:ilvl w:val="0"/>
                <w:numId w:val="4"/>
              </w:numPr>
              <w:shd w:val="clear" w:color="auto" w:fill="FFFFFF"/>
              <w:spacing w:before="0" w:beforeAutospacing="0" w:after="0" w:afterAutospacing="0"/>
              <w:ind w:left="360"/>
              <w:textAlignment w:val="baseline"/>
              <w:rPr>
                <w:rFonts w:ascii="Arial" w:hAnsi="Arial" w:cs="Arial"/>
                <w:color w:val="626262"/>
                <w:sz w:val="16"/>
                <w:szCs w:val="16"/>
              </w:rPr>
            </w:pPr>
            <w:r>
              <w:rPr>
                <w:rFonts w:ascii="Arial" w:hAnsi="Arial" w:cs="Arial"/>
                <w:b/>
                <w:bCs/>
                <w:color w:val="626262"/>
                <w:sz w:val="16"/>
                <w:szCs w:val="16"/>
                <w:shd w:val="clear" w:color="auto" w:fill="FFFFFF"/>
              </w:rPr>
              <w:t xml:space="preserve">EE12-4: </w:t>
            </w:r>
            <w:r>
              <w:rPr>
                <w:rFonts w:ascii="Arial" w:hAnsi="Arial" w:cs="Arial"/>
                <w:color w:val="626262"/>
                <w:sz w:val="16"/>
                <w:szCs w:val="16"/>
                <w:shd w:val="clear" w:color="auto" w:fill="FFFFFF"/>
              </w:rPr>
              <w:t> How well you have critically evaluated how perspectives, including the cultural assumptions and values that underpin those perspectives, are represented in texts</w:t>
            </w:r>
          </w:p>
          <w:p w:rsidR="00E623B8" w:rsidRPr="00E623B8" w:rsidRDefault="00E623B8" w:rsidP="00E623B8">
            <w:pPr>
              <w:pStyle w:val="NormalWeb"/>
              <w:numPr>
                <w:ilvl w:val="0"/>
                <w:numId w:val="4"/>
              </w:numPr>
              <w:shd w:val="clear" w:color="auto" w:fill="FFFFFF"/>
              <w:spacing w:before="0" w:beforeAutospacing="0" w:after="0" w:afterAutospacing="0"/>
              <w:ind w:left="360"/>
              <w:textAlignment w:val="baseline"/>
              <w:rPr>
                <w:rFonts w:ascii="Arial" w:hAnsi="Arial" w:cs="Arial"/>
                <w:color w:val="626262"/>
                <w:sz w:val="16"/>
                <w:szCs w:val="16"/>
              </w:rPr>
            </w:pPr>
            <w:r w:rsidRPr="00E623B8">
              <w:rPr>
                <w:rFonts w:ascii="Arial" w:hAnsi="Arial" w:cs="Arial"/>
                <w:b/>
                <w:bCs/>
                <w:color w:val="626262"/>
                <w:sz w:val="16"/>
                <w:szCs w:val="16"/>
                <w:shd w:val="clear" w:color="auto" w:fill="FFFFFF"/>
              </w:rPr>
              <w:t>EE12-5:  </w:t>
            </w:r>
            <w:r w:rsidRPr="00E623B8">
              <w:rPr>
                <w:rFonts w:ascii="Arial" w:hAnsi="Arial" w:cs="Arial"/>
                <w:color w:val="626262"/>
                <w:sz w:val="16"/>
                <w:szCs w:val="16"/>
                <w:shd w:val="clear" w:color="auto" w:fill="FFFFFF"/>
              </w:rPr>
              <w:t>How well you have evaluated the development of your conceptual understanding and the independent creative processes</w:t>
            </w: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r w:rsidR="00E623B8" w:rsidTr="008A5028">
        <w:tc>
          <w:tcPr>
            <w:tcW w:w="9016" w:type="dxa"/>
            <w:tcBorders>
              <w:top w:val="single" w:sz="4" w:space="0" w:color="auto"/>
              <w:bottom w:val="single" w:sz="4" w:space="0" w:color="auto"/>
            </w:tcBorders>
          </w:tcPr>
          <w:p w:rsidR="00E623B8" w:rsidRDefault="00E623B8" w:rsidP="008A5028">
            <w:pPr>
              <w:spacing w:before="120" w:after="120"/>
            </w:pPr>
          </w:p>
        </w:tc>
      </w:tr>
    </w:tbl>
    <w:p w:rsidR="00E623B8" w:rsidRDefault="00E623B8"/>
    <w:sectPr w:rsidR="00E623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D4" w:rsidRDefault="00CD12D4" w:rsidP="00E623B8">
      <w:pPr>
        <w:spacing w:after="0" w:line="240" w:lineRule="auto"/>
      </w:pPr>
      <w:r>
        <w:separator/>
      </w:r>
    </w:p>
  </w:endnote>
  <w:endnote w:type="continuationSeparator" w:id="0">
    <w:p w:rsidR="00CD12D4" w:rsidRDefault="00CD12D4" w:rsidP="00E6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34301"/>
      <w:docPartObj>
        <w:docPartGallery w:val="Page Numbers (Bottom of Page)"/>
        <w:docPartUnique/>
      </w:docPartObj>
    </w:sdtPr>
    <w:sdtEndPr>
      <w:rPr>
        <w:noProof/>
      </w:rPr>
    </w:sdtEndPr>
    <w:sdtContent>
      <w:p w:rsidR="00C55CC3" w:rsidRDefault="00CD12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5CC3" w:rsidRDefault="00CD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D4" w:rsidRDefault="00CD12D4" w:rsidP="00E623B8">
      <w:pPr>
        <w:spacing w:after="0" w:line="240" w:lineRule="auto"/>
      </w:pPr>
      <w:r>
        <w:separator/>
      </w:r>
    </w:p>
  </w:footnote>
  <w:footnote w:type="continuationSeparator" w:id="0">
    <w:p w:rsidR="00CD12D4" w:rsidRDefault="00CD12D4" w:rsidP="00E6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0E" w:rsidRDefault="00AB1281">
    <w:pPr>
      <w:pStyle w:val="Header"/>
    </w:pPr>
    <w:r>
      <w:t>1a</w:t>
    </w:r>
    <w:r w:rsidR="00CD12D4">
      <w:t xml:space="preserve"> </w:t>
    </w:r>
    <w:r w:rsidR="00CD12D4">
      <w:t xml:space="preserve">Literary </w:t>
    </w:r>
    <w:r w:rsidR="00CD12D4">
      <w:t>Worlds</w:t>
    </w:r>
    <w:r>
      <w:t xml:space="preserve"> Navigating the common module assessment of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5C55"/>
    <w:multiLevelType w:val="multilevel"/>
    <w:tmpl w:val="DD2C5E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41EEC"/>
    <w:multiLevelType w:val="multilevel"/>
    <w:tmpl w:val="0C22ED0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E16EF"/>
    <w:multiLevelType w:val="multilevel"/>
    <w:tmpl w:val="0F0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45734"/>
    <w:multiLevelType w:val="multilevel"/>
    <w:tmpl w:val="67B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3173B"/>
    <w:multiLevelType w:val="multilevel"/>
    <w:tmpl w:val="C262A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971EE"/>
    <w:multiLevelType w:val="multilevel"/>
    <w:tmpl w:val="C0A2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410E2"/>
    <w:multiLevelType w:val="hybridMultilevel"/>
    <w:tmpl w:val="06983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8D1EB2"/>
    <w:multiLevelType w:val="multilevel"/>
    <w:tmpl w:val="89C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4"/>
    <w:lvlOverride w:ilvl="0">
      <w:lvl w:ilvl="0">
        <w:numFmt w:val="decimal"/>
        <w:lvlText w:val="%1."/>
        <w:lvlJc w:val="left"/>
      </w:lvl>
    </w:lvlOverride>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8"/>
    <w:rsid w:val="00147560"/>
    <w:rsid w:val="00401722"/>
    <w:rsid w:val="00472ED7"/>
    <w:rsid w:val="004B2205"/>
    <w:rsid w:val="00AB1281"/>
    <w:rsid w:val="00CB02C3"/>
    <w:rsid w:val="00CC7F90"/>
    <w:rsid w:val="00CD12D4"/>
    <w:rsid w:val="00E623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BF04"/>
  <w15:chartTrackingRefBased/>
  <w15:docId w15:val="{310D46F4-D689-49EE-84C7-461E3C8A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B8"/>
  </w:style>
  <w:style w:type="paragraph" w:styleId="Heading1">
    <w:name w:val="heading 1"/>
    <w:basedOn w:val="Normal"/>
    <w:next w:val="Normal"/>
    <w:link w:val="Heading1Char"/>
    <w:uiPriority w:val="9"/>
    <w:qFormat/>
    <w:rsid w:val="00E623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2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23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3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23B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6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3B8"/>
  </w:style>
  <w:style w:type="paragraph" w:styleId="Footer">
    <w:name w:val="footer"/>
    <w:basedOn w:val="Normal"/>
    <w:link w:val="FooterChar"/>
    <w:uiPriority w:val="99"/>
    <w:unhideWhenUsed/>
    <w:rsid w:val="00E6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3B8"/>
  </w:style>
  <w:style w:type="table" w:styleId="TableGrid">
    <w:name w:val="Table Grid"/>
    <w:basedOn w:val="TableNormal"/>
    <w:uiPriority w:val="39"/>
    <w:rsid w:val="00E6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3B8"/>
    <w:pPr>
      <w:ind w:left="720"/>
      <w:contextualSpacing/>
    </w:pPr>
  </w:style>
  <w:style w:type="character" w:customStyle="1" w:styleId="Heading3Char">
    <w:name w:val="Heading 3 Char"/>
    <w:basedOn w:val="DefaultParagraphFont"/>
    <w:link w:val="Heading3"/>
    <w:uiPriority w:val="9"/>
    <w:rsid w:val="00E623B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623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1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073">
      <w:bodyDiv w:val="1"/>
      <w:marLeft w:val="0"/>
      <w:marRight w:val="0"/>
      <w:marTop w:val="0"/>
      <w:marBottom w:val="0"/>
      <w:divBdr>
        <w:top w:val="none" w:sz="0" w:space="0" w:color="auto"/>
        <w:left w:val="none" w:sz="0" w:space="0" w:color="auto"/>
        <w:bottom w:val="none" w:sz="0" w:space="0" w:color="auto"/>
        <w:right w:val="none" w:sz="0" w:space="0" w:color="auto"/>
      </w:divBdr>
      <w:divsChild>
        <w:div w:id="270940810">
          <w:marLeft w:val="720"/>
          <w:marRight w:val="0"/>
          <w:marTop w:val="0"/>
          <w:marBottom w:val="0"/>
          <w:divBdr>
            <w:top w:val="none" w:sz="0" w:space="0" w:color="auto"/>
            <w:left w:val="none" w:sz="0" w:space="0" w:color="auto"/>
            <w:bottom w:val="none" w:sz="0" w:space="0" w:color="auto"/>
            <w:right w:val="none" w:sz="0" w:space="0" w:color="auto"/>
          </w:divBdr>
        </w:div>
        <w:div w:id="1138960512">
          <w:marLeft w:val="720"/>
          <w:marRight w:val="0"/>
          <w:marTop w:val="0"/>
          <w:marBottom w:val="0"/>
          <w:divBdr>
            <w:top w:val="none" w:sz="0" w:space="0" w:color="auto"/>
            <w:left w:val="none" w:sz="0" w:space="0" w:color="auto"/>
            <w:bottom w:val="none" w:sz="0" w:space="0" w:color="auto"/>
            <w:right w:val="none" w:sz="0" w:space="0" w:color="auto"/>
          </w:divBdr>
        </w:div>
        <w:div w:id="1760175153">
          <w:marLeft w:val="0"/>
          <w:marRight w:val="0"/>
          <w:marTop w:val="0"/>
          <w:marBottom w:val="0"/>
          <w:divBdr>
            <w:top w:val="none" w:sz="0" w:space="0" w:color="auto"/>
            <w:left w:val="none" w:sz="0" w:space="0" w:color="auto"/>
            <w:bottom w:val="none" w:sz="0" w:space="0" w:color="auto"/>
            <w:right w:val="none" w:sz="0" w:space="0" w:color="auto"/>
          </w:divBdr>
        </w:div>
        <w:div w:id="1192105523">
          <w:marLeft w:val="0"/>
          <w:marRight w:val="0"/>
          <w:marTop w:val="0"/>
          <w:marBottom w:val="0"/>
          <w:divBdr>
            <w:top w:val="none" w:sz="0" w:space="0" w:color="auto"/>
            <w:left w:val="none" w:sz="0" w:space="0" w:color="auto"/>
            <w:bottom w:val="none" w:sz="0" w:space="0" w:color="auto"/>
            <w:right w:val="none" w:sz="0" w:space="0" w:color="auto"/>
          </w:divBdr>
        </w:div>
        <w:div w:id="1546258313">
          <w:marLeft w:val="0"/>
          <w:marRight w:val="0"/>
          <w:marTop w:val="0"/>
          <w:marBottom w:val="0"/>
          <w:divBdr>
            <w:top w:val="none" w:sz="0" w:space="0" w:color="auto"/>
            <w:left w:val="none" w:sz="0" w:space="0" w:color="auto"/>
            <w:bottom w:val="none" w:sz="0" w:space="0" w:color="auto"/>
            <w:right w:val="none" w:sz="0" w:space="0" w:color="auto"/>
          </w:divBdr>
        </w:div>
        <w:div w:id="5721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Lesson 1 Recap:  Evaluating Literary Worlds</vt:lpstr>
    </vt:vector>
  </TitlesOfParts>
  <Company>Department of Education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Giles</dc:creator>
  <cp:keywords/>
  <dc:description/>
  <cp:lastModifiedBy>Elizabeth Giles</cp:lastModifiedBy>
  <cp:revision>2</cp:revision>
  <cp:lastPrinted>2018-10-29T03:13:00Z</cp:lastPrinted>
  <dcterms:created xsi:type="dcterms:W3CDTF">2018-10-29T05:57:00Z</dcterms:created>
  <dcterms:modified xsi:type="dcterms:W3CDTF">2018-10-29T05:57:00Z</dcterms:modified>
</cp:coreProperties>
</file>